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0C914" w14:textId="77777777" w:rsidR="007C66EA" w:rsidRPr="0087726C" w:rsidRDefault="007C66EA" w:rsidP="009A24A6">
      <w:pPr>
        <w:shd w:val="clear" w:color="auto" w:fill="FFFFFF"/>
        <w:spacing w:before="400" w:after="400" w:line="276" w:lineRule="atLeast"/>
        <w:ind w:right="-1"/>
        <w:jc w:val="right"/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Приложение </w:t>
      </w:r>
      <w:r w:rsidR="00D16BF1" w:rsidRPr="0087726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3</w:t>
      </w:r>
    </w:p>
    <w:p w14:paraId="2B2EC17C" w14:textId="77777777" w:rsidR="00451DFA" w:rsidRPr="0087726C" w:rsidRDefault="00451DFA" w:rsidP="00451DFA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Технические требования</w:t>
      </w:r>
      <w:r w:rsidRPr="0087726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br/>
        <w:t>к электронной системе учета и контроля нефти и нефтепродуктов</w:t>
      </w:r>
    </w:p>
    <w:p w14:paraId="3BC174E2" w14:textId="77777777" w:rsidR="00451DFA" w:rsidRPr="0087726C" w:rsidRDefault="00451DFA" w:rsidP="00451DFA">
      <w:pPr>
        <w:shd w:val="clear" w:color="auto" w:fill="FFFFFF"/>
        <w:spacing w:before="200" w:after="200" w:line="276" w:lineRule="atLeast"/>
        <w:ind w:left="1134" w:right="1134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0" w:name="g1"/>
      <w:bookmarkEnd w:id="0"/>
      <w:r w:rsidRPr="0087726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Глава 1. Понятия и термины</w:t>
      </w:r>
    </w:p>
    <w:p w14:paraId="07ADDCD8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1. Настоящие Технические требования определяют общие требования к электронной системе учета и контроля нефти и нефтепродуктов.</w:t>
      </w:r>
    </w:p>
    <w:p w14:paraId="33FDFCAC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2. В настоящих Технических требованиях используются следующие понятия и термины:</w:t>
      </w:r>
    </w:p>
    <w:p w14:paraId="31D320C9" w14:textId="77777777" w:rsidR="00451DFA" w:rsidRPr="0087726C" w:rsidRDefault="007C66E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1) </w:t>
      </w:r>
      <w:r w:rsidR="00451DFA" w:rsidRPr="0087726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автоматизированная система управления автозаправочной станцией</w:t>
      </w:r>
      <w:r w:rsidR="00D16BF1" w:rsidRPr="0087726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 </w:t>
      </w:r>
      <w:r w:rsidR="00451DFA"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–</w:t>
      </w:r>
      <w:r w:rsidR="00A3128C"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451DFA"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решение задачи автоматизации станций по заправке автотранспортных средств нефтепродуктами, использующее подсистемы и соответствующее оборудование, в комплексе обеспечивающие управление функциями станций, в том числе синхронизацию работы топливно-раздаточных колонок и контрольно-кассовой машины в части отпуска нефтепродуктов только после пробития фискального чека;</w:t>
      </w:r>
    </w:p>
    <w:p w14:paraId="0B9D91BE" w14:textId="77777777" w:rsidR="00451DFA" w:rsidRPr="0087726C" w:rsidRDefault="007C66E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2) </w:t>
      </w:r>
      <w:r w:rsidR="00451DFA" w:rsidRPr="0087726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топливораздаточная колонка</w:t>
      </w:r>
      <w:r w:rsidR="00D16BF1"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–</w:t>
      </w:r>
      <w:r w:rsidR="00451DFA"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колонка на автозаправочной станции, автомобильной газозаправочной станции и автомобильной газонаполнительной компрессорной станции по заправке автомашин нефтепродуктами;</w:t>
      </w:r>
    </w:p>
    <w:p w14:paraId="36ECEDE1" w14:textId="77777777" w:rsidR="00451DFA" w:rsidRPr="0087726C" w:rsidRDefault="00D16BF1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</w:t>
      </w:r>
      <w:r w:rsidR="007C66EA"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) </w:t>
      </w:r>
      <w:r w:rsidR="00451DFA" w:rsidRPr="0087726C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уровнемер</w:t>
      </w: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–</w:t>
      </w:r>
      <w:r w:rsidR="00A3128C"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451DFA"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прибор, задача которого состоит в непрерывном измерении параметров нефтепродуктов (уровень, объем, температура и плотность) в резервуарах;</w:t>
      </w:r>
    </w:p>
    <w:p w14:paraId="3A6EB1FF" w14:textId="77777777" w:rsidR="00451DFA" w:rsidRPr="0087726C" w:rsidRDefault="00A3128C" w:rsidP="00D16BF1">
      <w:pPr>
        <w:shd w:val="clear" w:color="auto" w:fill="FFFFFF"/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Другие понятия и термины в настоящих Технических требованиях трактуются в значении, определенном соответствующим законодательством Кыргызской Республики.</w:t>
      </w:r>
    </w:p>
    <w:p w14:paraId="43AF54A2" w14:textId="77777777" w:rsidR="00A3128C" w:rsidRPr="0087726C" w:rsidRDefault="00A3128C" w:rsidP="00D16BF1">
      <w:pPr>
        <w:shd w:val="clear" w:color="auto" w:fill="FFFFFF"/>
        <w:spacing w:after="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</w:p>
    <w:p w14:paraId="384EB241" w14:textId="77777777" w:rsidR="00451DFA" w:rsidRPr="0087726C" w:rsidRDefault="00451DFA" w:rsidP="00D16BF1">
      <w:pPr>
        <w:shd w:val="clear" w:color="auto" w:fill="FFFFFF"/>
        <w:tabs>
          <w:tab w:val="left" w:pos="9071"/>
        </w:tabs>
        <w:spacing w:after="200" w:line="276" w:lineRule="atLeast"/>
        <w:ind w:right="-1" w:firstLine="709"/>
        <w:jc w:val="center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bookmarkStart w:id="1" w:name="g2"/>
      <w:bookmarkEnd w:id="1"/>
      <w:r w:rsidRPr="0087726C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  <w:lang w:eastAsia="ru-RU"/>
        </w:rPr>
        <w:t>Глава 2. Общие технические требования к автоматизированной системе управления автозаправочной станцией</w:t>
      </w:r>
    </w:p>
    <w:p w14:paraId="3E193491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3. Для сферы торговли нефтепродуктами управление процессом отпуска нефтепродуктов с топливораздаточной колонки и регистрация результатов отпуска должны производиться автоматизированной системой управления автозаправочной станцией (далее – АЗС), обеспечивающей комплексную работу топливораздаточной колонки и контрольно-кассовой машины. Главным условием комплексного взаимодействия является возможность блокировки отпуска нефтепродуктов до оформления чека контрольно-кассовой машины.</w:t>
      </w:r>
    </w:p>
    <w:p w14:paraId="6802670E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 xml:space="preserve">4. Основным требованием к работе автоматизированной системы управления АЗС является использование контрольно-кассовых машин, включенных в </w:t>
      </w:r>
      <w:r w:rsidR="00D16BF1"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Р</w:t>
      </w: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еестр контрольно-кассовых машин, разрешенных к использованию на территории Кыргызской Республики.</w:t>
      </w:r>
    </w:p>
    <w:p w14:paraId="3F386FC2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5. Управление автоматизированной системы управления АЗС, должно проводиться топливораздаточной колонкой, работающей по соответствующему протоколу передачи данных, обеспечивающий ведение наблюдения за состоянием топливораздаточной колонки в режиме реального времени.</w:t>
      </w:r>
    </w:p>
    <w:p w14:paraId="73243FFD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6. Общие технические требования, предъявляемые к автоматизированной системе управления автозаправочной станцией АЗС:</w:t>
      </w:r>
    </w:p>
    <w:p w14:paraId="50B7B6EF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1) требования к структуре и функционированию системы:</w:t>
      </w:r>
    </w:p>
    <w:p w14:paraId="32F1C990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функционирование выбираемой системы и ее подсистем должно осуществляться в долговременном, круглосуточном и непрерывном режиме с предусмотренными запланированными перерывами на регламентные работы;</w:t>
      </w:r>
    </w:p>
    <w:p w14:paraId="00CE71E2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система должна обладать модульной архитектурой и, в случае необходимости, позволять наращивать функциональность своих подсистем на базе единой технологической и архитектурной платформы;</w:t>
      </w:r>
    </w:p>
    <w:p w14:paraId="0AF3930B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2) требования к надежности и информационной безопасности:</w:t>
      </w:r>
    </w:p>
    <w:p w14:paraId="3D5CB95B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доступ к данным должен быть предоставлен только авторизованным пользователям, с учетом их служебных полномочий. Каждому пользователю системы должен быть определен объем функциональности системы, к которой он допущен;</w:t>
      </w:r>
    </w:p>
    <w:p w14:paraId="293FAB6B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действия субъектов и процессов, задействованных в системе, должны производиться через специализированные интерфейсы системы;</w:t>
      </w:r>
    </w:p>
    <w:p w14:paraId="0A9FF174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присвоение ролей пользователям должно осуществляться администратором системы;</w:t>
      </w:r>
    </w:p>
    <w:p w14:paraId="34FEB0DB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3) требования к эргономике:</w:t>
      </w:r>
    </w:p>
    <w:p w14:paraId="29D38080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система должна иметь интуитивно понятный и несложный для восприятия интерфейс. Для организации диалога системы с пользователем должен применяться графический пользовательский интерфейс;</w:t>
      </w:r>
    </w:p>
    <w:p w14:paraId="31F57828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должно быть обеспечено наличие локализованного интерфейса, особенно для организации взаимодействия с пользователем (на государственном и официальном языке);</w:t>
      </w:r>
    </w:p>
    <w:p w14:paraId="310F5F37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4) требования к сохранности информации при авариях:</w:t>
      </w:r>
    </w:p>
    <w:p w14:paraId="35C47BCD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программное обеспечение системы должно автоматически восстанавливать свое функционирование при корректном перезапуске аппаратных средств;</w:t>
      </w:r>
    </w:p>
    <w:p w14:paraId="4DCE3180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должна быть предусмотрена возможность резервного копирования;</w:t>
      </w:r>
    </w:p>
    <w:p w14:paraId="7A4DE705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при отключении электроэнергии автоматически сохранять (без потерь) последние заносимые данные;</w:t>
      </w:r>
    </w:p>
    <w:p w14:paraId="19A49DC2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5) требования к функциям, выполняемым системой:</w:t>
      </w:r>
    </w:p>
    <w:p w14:paraId="5B44E787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осуществлять продажу нефтепродуктов через топливораздаточную </w:t>
      </w:r>
      <w:proofErr w:type="gramStart"/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колонку, в случае, если</w:t>
      </w:r>
      <w:proofErr w:type="gramEnd"/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отпуск задан в литрах (об</w:t>
      </w:r>
      <w:r w:rsidR="00D35AA2"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ъем), в деньгах (на сумму) или «до полного бака»</w:t>
      </w: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;</w:t>
      </w:r>
    </w:p>
    <w:p w14:paraId="7D730DE4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при необходимости, осуществлять продажу сопутствующих товаров и услуг;</w:t>
      </w:r>
    </w:p>
    <w:p w14:paraId="41E8DA97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осуществлять оплату за нефтепродукты, сопутствующие товары и услуги с помощью различных платежных средств (наличные, пластиковые карты банковских и прочих платежных систем);</w:t>
      </w:r>
    </w:p>
    <w:p w14:paraId="1D16A8F3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осуществлять выполнение кассовых операций (возврат товара, печать копии чека, просмотр информации по чеку, внесение в кассу, инкассация, печать Х-отчета и Z-отчета);</w:t>
      </w:r>
    </w:p>
    <w:p w14:paraId="095C40CE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осуществлять открытие/закрытие смен на АЗС;</w:t>
      </w:r>
    </w:p>
    <w:p w14:paraId="332EE019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осуществлять прием нефтепродуктов и сопутствующих товаров (при необходимости);</w:t>
      </w:r>
    </w:p>
    <w:p w14:paraId="285800F1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осуществлять генерацию сменных и других отчетов по результатам работы АЗС и передачу этих данных в другие системы;</w:t>
      </w:r>
    </w:p>
    <w:p w14:paraId="5328D991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обеспечить сопряжение с устройствами измерения параметров нефтепродуктов (уровнемеры) в резервуарах, осуществлять измерение, фиксацию и передачу данных в другие системы;</w:t>
      </w:r>
    </w:p>
    <w:p w14:paraId="612F7C78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обеспечить работу с различным дополнительным оборудованием (сканеры штрих-кодов, терминальные устройства, смарт-сейфы и пр.);</w:t>
      </w:r>
    </w:p>
    <w:p w14:paraId="75C6FDE7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обеспечить интеграцию с программными продуктами сторонних производителей посредством стандарта обмена данными или с использованием специализированных решений.</w:t>
      </w:r>
    </w:p>
    <w:p w14:paraId="6E077FDA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Все функции должны вызываться непосредственно из меню автоматизированной системы управления АЗС. На больших АЗС допустимо использование нескольких рабочих мест автоматизированной системы управления АЗС;</w:t>
      </w:r>
    </w:p>
    <w:p w14:paraId="30C0AEA1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6) требования к взаимодействию автоматизированной системы управления АЗС и контрольно-кассовой машины:</w:t>
      </w:r>
    </w:p>
    <w:p w14:paraId="6AF827A2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отпуск нефтепродуктов с топливораздаточной колонки посредством автоматизированной системы управления АЗС должен производиться исключительно после пробития фискального чека контрольно-кассовой машины;</w:t>
      </w:r>
    </w:p>
    <w:p w14:paraId="4D156730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автоматизированная система управления АЗС должна обеспечивать непрерывную автоматизированную связь с контрольно-кассовой машиной, исключающую возможность корректировки данных;</w:t>
      </w:r>
    </w:p>
    <w:p w14:paraId="492487A9" w14:textId="77777777" w:rsidR="00451DFA" w:rsidRPr="0087726C" w:rsidRDefault="00451DFA" w:rsidP="007C66EA">
      <w:pPr>
        <w:shd w:val="clear" w:color="auto" w:fill="FFFFFF"/>
        <w:spacing w:after="60" w:line="276" w:lineRule="atLeast"/>
        <w:ind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- автоматизированная система управления АЗС должна блокировать отпуск нефтепродуктов при </w:t>
      </w:r>
      <w:proofErr w:type="spellStart"/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непробитии</w:t>
      </w:r>
      <w:proofErr w:type="spellEnd"/>
      <w:r w:rsidRPr="0087726C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 xml:space="preserve"> контрольно-кассовой машиной фискального чека.</w:t>
      </w:r>
    </w:p>
    <w:p w14:paraId="19753577" w14:textId="21D8522B" w:rsidR="006D0C4E" w:rsidRPr="0087726C" w:rsidRDefault="006D0C4E">
      <w:pPr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sectPr w:rsidR="006D0C4E" w:rsidRPr="0087726C" w:rsidSect="00D35AA2">
      <w:foot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E10012" w14:textId="77777777" w:rsidR="004B01A6" w:rsidRDefault="004B01A6" w:rsidP="00D35AA2">
      <w:pPr>
        <w:spacing w:after="0" w:line="240" w:lineRule="auto"/>
      </w:pPr>
      <w:r>
        <w:separator/>
      </w:r>
    </w:p>
  </w:endnote>
  <w:endnote w:type="continuationSeparator" w:id="0">
    <w:p w14:paraId="379CBDA3" w14:textId="77777777" w:rsidR="004B01A6" w:rsidRDefault="004B01A6" w:rsidP="00D35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474884886"/>
      <w:docPartObj>
        <w:docPartGallery w:val="Page Numbers (Bottom of Page)"/>
        <w:docPartUnique/>
      </w:docPartObj>
    </w:sdtPr>
    <w:sdtEndPr/>
    <w:sdtContent>
      <w:p w14:paraId="7E0054C0" w14:textId="77777777" w:rsidR="00D35AA2" w:rsidRPr="00D35AA2" w:rsidRDefault="00D35AA2">
        <w:pPr>
          <w:pStyle w:val="a6"/>
          <w:jc w:val="right"/>
          <w:rPr>
            <w:rFonts w:ascii="Times New Roman" w:hAnsi="Times New Roman" w:cs="Times New Roman"/>
          </w:rPr>
        </w:pPr>
        <w:r w:rsidRPr="00D35AA2">
          <w:rPr>
            <w:rFonts w:ascii="Times New Roman" w:hAnsi="Times New Roman" w:cs="Times New Roman"/>
          </w:rPr>
          <w:fldChar w:fldCharType="begin"/>
        </w:r>
        <w:r w:rsidRPr="00D35AA2">
          <w:rPr>
            <w:rFonts w:ascii="Times New Roman" w:hAnsi="Times New Roman" w:cs="Times New Roman"/>
          </w:rPr>
          <w:instrText>PAGE   \* MERGEFORMAT</w:instrText>
        </w:r>
        <w:r w:rsidRPr="00D35AA2">
          <w:rPr>
            <w:rFonts w:ascii="Times New Roman" w:hAnsi="Times New Roman" w:cs="Times New Roman"/>
          </w:rPr>
          <w:fldChar w:fldCharType="separate"/>
        </w:r>
        <w:r w:rsidR="00A3128C">
          <w:rPr>
            <w:rFonts w:ascii="Times New Roman" w:hAnsi="Times New Roman" w:cs="Times New Roman"/>
            <w:noProof/>
          </w:rPr>
          <w:t>3</w:t>
        </w:r>
        <w:r w:rsidRPr="00D35AA2">
          <w:rPr>
            <w:rFonts w:ascii="Times New Roman" w:hAnsi="Times New Roman" w:cs="Times New Roman"/>
          </w:rPr>
          <w:fldChar w:fldCharType="end"/>
        </w:r>
      </w:p>
    </w:sdtContent>
  </w:sdt>
  <w:p w14:paraId="6DC04E85" w14:textId="77777777" w:rsidR="00D35AA2" w:rsidRPr="00D35AA2" w:rsidRDefault="00D35AA2">
    <w:pPr>
      <w:pStyle w:val="a6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4F09D" w14:textId="77777777" w:rsidR="004B01A6" w:rsidRDefault="004B01A6" w:rsidP="00D35AA2">
      <w:pPr>
        <w:spacing w:after="0" w:line="240" w:lineRule="auto"/>
      </w:pPr>
      <w:r>
        <w:separator/>
      </w:r>
    </w:p>
  </w:footnote>
  <w:footnote w:type="continuationSeparator" w:id="0">
    <w:p w14:paraId="20367535" w14:textId="77777777" w:rsidR="004B01A6" w:rsidRDefault="004B01A6" w:rsidP="00D35A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49ED"/>
    <w:rsid w:val="002204A0"/>
    <w:rsid w:val="00451DFA"/>
    <w:rsid w:val="004B01A6"/>
    <w:rsid w:val="006D0C4E"/>
    <w:rsid w:val="007549ED"/>
    <w:rsid w:val="007C66EA"/>
    <w:rsid w:val="0087726C"/>
    <w:rsid w:val="009A24A6"/>
    <w:rsid w:val="00A3128C"/>
    <w:rsid w:val="00D16BF1"/>
    <w:rsid w:val="00D35AA2"/>
    <w:rsid w:val="00D9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B964D"/>
  <w15:docId w15:val="{F48330E2-A979-4561-B15D-F01BD7DB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1DF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35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5AA2"/>
  </w:style>
  <w:style w:type="paragraph" w:styleId="a6">
    <w:name w:val="footer"/>
    <w:basedOn w:val="a"/>
    <w:link w:val="a7"/>
    <w:uiPriority w:val="99"/>
    <w:unhideWhenUsed/>
    <w:rsid w:val="00D35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5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95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Maksutov Ulukman</cp:lastModifiedBy>
  <cp:revision>5</cp:revision>
  <dcterms:created xsi:type="dcterms:W3CDTF">2022-02-03T03:33:00Z</dcterms:created>
  <dcterms:modified xsi:type="dcterms:W3CDTF">2022-02-10T03:27:00Z</dcterms:modified>
</cp:coreProperties>
</file>